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B8" w:rsidRPr="00785C9D" w:rsidRDefault="000337FA" w:rsidP="00785C9D">
      <w:pPr>
        <w:pStyle w:val="NoSpacing"/>
        <w:jc w:val="center"/>
        <w:rPr>
          <w:b/>
        </w:rPr>
      </w:pPr>
      <w:r w:rsidRPr="00785C9D">
        <w:rPr>
          <w:b/>
        </w:rPr>
        <w:t>How to read the case:</w:t>
      </w:r>
    </w:p>
    <w:p w:rsidR="00785C9D" w:rsidRDefault="00785C9D" w:rsidP="00785C9D">
      <w:pPr>
        <w:pStyle w:val="NoSpacing"/>
      </w:pPr>
    </w:p>
    <w:p w:rsidR="000337FA" w:rsidRDefault="000337FA" w:rsidP="00785C9D">
      <w:pPr>
        <w:pStyle w:val="NoSpacing"/>
      </w:pPr>
      <w:proofErr w:type="gramStart"/>
      <w:r w:rsidRPr="00785C9D">
        <w:rPr>
          <w:b/>
        </w:rPr>
        <w:t xml:space="preserve">Page </w:t>
      </w:r>
      <w:proofErr w:type="spellStart"/>
      <w:r w:rsidRPr="00785C9D">
        <w:rPr>
          <w:b/>
        </w:rPr>
        <w:t>i</w:t>
      </w:r>
      <w:proofErr w:type="spellEnd"/>
      <w:r w:rsidRPr="00785C9D">
        <w:rPr>
          <w:b/>
        </w:rPr>
        <w:t>-v</w:t>
      </w:r>
      <w:r>
        <w:t xml:space="preserve"> – the rules and procedures of the moot court competition.</w:t>
      </w:r>
      <w:proofErr w:type="gramEnd"/>
      <w:r>
        <w:t xml:space="preserve">  </w:t>
      </w:r>
    </w:p>
    <w:p w:rsidR="000337FA" w:rsidRDefault="000337FA" w:rsidP="00785C9D">
      <w:pPr>
        <w:pStyle w:val="NoSpacing"/>
      </w:pPr>
      <w:r w:rsidRPr="00785C9D">
        <w:rPr>
          <w:b/>
        </w:rPr>
        <w:t>Page 1</w:t>
      </w:r>
      <w:r>
        <w:t xml:space="preserve"> – the case – Troy Baker is suing the United States of America</w:t>
      </w:r>
      <w:r w:rsidR="00B32F29">
        <w:t>’s Appellee Court to over</w:t>
      </w:r>
      <w:r>
        <w:t>turn the decision of the U.S. District Court for the Southern District of Fordham</w:t>
      </w:r>
    </w:p>
    <w:p w:rsidR="00B32F29" w:rsidRDefault="00B32F29" w:rsidP="00785C9D">
      <w:pPr>
        <w:pStyle w:val="NoSpacing"/>
      </w:pPr>
      <w:r>
        <w:tab/>
        <w:t xml:space="preserve">28 U.S.C. </w:t>
      </w:r>
      <w:proofErr w:type="gramStart"/>
      <w:r>
        <w:t>section</w:t>
      </w:r>
      <w:proofErr w:type="gramEnd"/>
      <w:r>
        <w:t xml:space="preserve"> 1291 – it is illegal to have unregistered firearms</w:t>
      </w:r>
    </w:p>
    <w:p w:rsidR="00B32F29" w:rsidRDefault="00B32F29" w:rsidP="00785C9D">
      <w:pPr>
        <w:pStyle w:val="NoSpacing"/>
      </w:pPr>
      <w:r>
        <w:tab/>
        <w:t>Interstate commerce – trade/business across the nation (face book is technically an interstate business)</w:t>
      </w:r>
      <w:r w:rsidR="00803313">
        <w:t xml:space="preserve"> and you cannot “transmit in interstate or foreign commerce (trade) any communication containing any threat to kidnap any person or any threat to injure the person of another” – threatening someone in this medium is not protected by the F</w:t>
      </w:r>
      <w:bookmarkStart w:id="0" w:name="_GoBack"/>
      <w:bookmarkEnd w:id="0"/>
      <w:r w:rsidR="00803313">
        <w:t xml:space="preserve">irst Amendment’s freedom of speech.  </w:t>
      </w:r>
    </w:p>
    <w:p w:rsidR="000337FA" w:rsidRDefault="000337FA" w:rsidP="00785C9D">
      <w:pPr>
        <w:pStyle w:val="NoSpacing"/>
      </w:pPr>
      <w:r w:rsidRPr="00785C9D">
        <w:rPr>
          <w:b/>
        </w:rPr>
        <w:t>Opinion for the court</w:t>
      </w:r>
      <w:r>
        <w:t xml:space="preserve"> – one person writes the majority (concurring) opinion -- why the judges ruled the way it did</w:t>
      </w:r>
    </w:p>
    <w:p w:rsidR="000337FA" w:rsidRDefault="000337FA" w:rsidP="00785C9D">
      <w:pPr>
        <w:pStyle w:val="NoSpacing"/>
      </w:pPr>
      <w:r w:rsidRPr="00785C9D">
        <w:rPr>
          <w:b/>
        </w:rPr>
        <w:t>Dissent</w:t>
      </w:r>
      <w:r>
        <w:t xml:space="preserve"> – judge who disagreed with the majority opinion of the court (the minority opinion)</w:t>
      </w:r>
    </w:p>
    <w:p w:rsidR="000337FA" w:rsidRPr="00785C9D" w:rsidRDefault="000337FA" w:rsidP="00785C9D">
      <w:pPr>
        <w:pStyle w:val="NoSpacing"/>
        <w:rPr>
          <w:b/>
        </w:rPr>
      </w:pPr>
      <w:r w:rsidRPr="00785C9D">
        <w:rPr>
          <w:b/>
        </w:rPr>
        <w:t xml:space="preserve">Page 2 top: </w:t>
      </w:r>
    </w:p>
    <w:p w:rsidR="000337FA" w:rsidRDefault="000337FA" w:rsidP="00785C9D">
      <w:pPr>
        <w:pStyle w:val="NoSpacing"/>
      </w:pPr>
      <w:r>
        <w:tab/>
      </w:r>
      <w:proofErr w:type="gramStart"/>
      <w:r w:rsidRPr="00785C9D">
        <w:rPr>
          <w:b/>
        </w:rPr>
        <w:t>First sentence</w:t>
      </w:r>
      <w:r>
        <w:t xml:space="preserve"> – why Baker appealed (the Constitutional grounds – reasons) his guilty verdict from his criminal trial.</w:t>
      </w:r>
      <w:proofErr w:type="gramEnd"/>
    </w:p>
    <w:p w:rsidR="000337FA" w:rsidRDefault="000337FA" w:rsidP="00785C9D">
      <w:pPr>
        <w:pStyle w:val="NoSpacing"/>
      </w:pPr>
      <w:r>
        <w:tab/>
      </w:r>
      <w:r w:rsidRPr="00785C9D">
        <w:rPr>
          <w:b/>
        </w:rPr>
        <w:t>De novo</w:t>
      </w:r>
      <w:r>
        <w:t xml:space="preserve"> – as if hearing for the first time</w:t>
      </w:r>
    </w:p>
    <w:p w:rsidR="00060EC1" w:rsidRPr="00060EC1" w:rsidRDefault="000337FA" w:rsidP="00785C9D">
      <w:pPr>
        <w:pStyle w:val="NoSpacing"/>
      </w:pPr>
      <w:r>
        <w:tab/>
        <w:t xml:space="preserve">The court will uphold </w:t>
      </w:r>
      <w:r w:rsidR="00060EC1">
        <w:t xml:space="preserve">(support) </w:t>
      </w:r>
      <w:r>
        <w:t>the jury verdict (ruling of the trial court) unless it was clearly, decidedly, or overwhelmingly against the weight of the evidence.”</w:t>
      </w:r>
      <w:r w:rsidR="00060EC1">
        <w:t xml:space="preserve"> – </w:t>
      </w:r>
      <w:r w:rsidR="00060EC1" w:rsidRPr="00060EC1">
        <w:t xml:space="preserve">Baker must prove one of these three.  </w:t>
      </w:r>
    </w:p>
    <w:p w:rsidR="000337FA" w:rsidRDefault="00060EC1" w:rsidP="00785C9D">
      <w:pPr>
        <w:pStyle w:val="NoSpacing"/>
      </w:pPr>
      <w:r>
        <w:tab/>
      </w:r>
      <w:r w:rsidRPr="00785C9D">
        <w:rPr>
          <w:b/>
          <w:u w:val="single"/>
        </w:rPr>
        <w:t>Underlined cases</w:t>
      </w:r>
      <w:r>
        <w:rPr>
          <w:u w:val="single"/>
        </w:rPr>
        <w:t xml:space="preserve"> </w:t>
      </w:r>
      <w:r>
        <w:t xml:space="preserve">are referencing precedent (past) cases to help the court make its decision.  </w:t>
      </w:r>
      <w:r w:rsidR="000337FA">
        <w:t xml:space="preserve">  </w:t>
      </w:r>
    </w:p>
    <w:p w:rsidR="00060EC1" w:rsidRDefault="00060EC1" w:rsidP="00785C9D">
      <w:pPr>
        <w:pStyle w:val="NoSpacing"/>
      </w:pPr>
      <w:r w:rsidRPr="00785C9D">
        <w:rPr>
          <w:b/>
        </w:rPr>
        <w:t>Page 2-7</w:t>
      </w:r>
      <w:r>
        <w:t xml:space="preserve"> – facts of the case</w:t>
      </w:r>
    </w:p>
    <w:p w:rsidR="00060EC1" w:rsidRDefault="00060EC1" w:rsidP="00785C9D">
      <w:pPr>
        <w:pStyle w:val="NoSpacing"/>
      </w:pPr>
      <w:r w:rsidRPr="00785C9D">
        <w:rPr>
          <w:b/>
        </w:rPr>
        <w:t xml:space="preserve">Page </w:t>
      </w:r>
      <w:proofErr w:type="gramStart"/>
      <w:r w:rsidRPr="00785C9D">
        <w:rPr>
          <w:b/>
        </w:rPr>
        <w:t>7-8</w:t>
      </w:r>
      <w:r>
        <w:t xml:space="preserve"> Procedural Background – the legal background</w:t>
      </w:r>
      <w:proofErr w:type="gramEnd"/>
    </w:p>
    <w:p w:rsidR="00060EC1" w:rsidRPr="00785C9D" w:rsidRDefault="00060EC1" w:rsidP="00785C9D">
      <w:pPr>
        <w:pStyle w:val="NoSpacing"/>
        <w:rPr>
          <w:b/>
        </w:rPr>
      </w:pPr>
      <w:r w:rsidRPr="00785C9D">
        <w:rPr>
          <w:b/>
        </w:rPr>
        <w:t>Subjective vs. objective –</w:t>
      </w:r>
    </w:p>
    <w:p w:rsidR="00060EC1" w:rsidRDefault="00060EC1" w:rsidP="00785C9D">
      <w:pPr>
        <w:pStyle w:val="NoSpacing"/>
        <w:ind w:firstLine="720"/>
      </w:pPr>
      <w:r w:rsidRPr="00785C9D">
        <w:rPr>
          <w:b/>
        </w:rPr>
        <w:t>Subjective</w:t>
      </w:r>
      <w:r>
        <w:t xml:space="preserve"> – </w:t>
      </w:r>
      <w:r w:rsidR="00B934B6">
        <w:t>intent -- did the person intend for it to be threatening</w:t>
      </w:r>
    </w:p>
    <w:p w:rsidR="00060EC1" w:rsidRPr="00060EC1" w:rsidRDefault="00060EC1" w:rsidP="00785C9D">
      <w:pPr>
        <w:pStyle w:val="NoSpacing"/>
        <w:ind w:firstLine="720"/>
      </w:pPr>
      <w:r w:rsidRPr="00785C9D">
        <w:rPr>
          <w:b/>
        </w:rPr>
        <w:t>Objective</w:t>
      </w:r>
      <w:r>
        <w:t xml:space="preserve"> </w:t>
      </w:r>
      <w:r w:rsidR="00785C9D">
        <w:t>–</w:t>
      </w:r>
      <w:r>
        <w:t xml:space="preserve"> </w:t>
      </w:r>
      <w:r w:rsidR="00785C9D">
        <w:t>a reasonable person viewing the situation</w:t>
      </w:r>
      <w:r w:rsidR="00B934B6">
        <w:t xml:space="preserve"> and knowing the context of it</w:t>
      </w:r>
      <w:r w:rsidR="00785C9D">
        <w:t xml:space="preserve">.  </w:t>
      </w:r>
    </w:p>
    <w:p w:rsidR="00785C9D" w:rsidRDefault="00785C9D">
      <w:pPr>
        <w:pStyle w:val="NoSpacing"/>
      </w:pPr>
    </w:p>
    <w:p w:rsidR="00785C9D" w:rsidRDefault="00B934B6">
      <w:pPr>
        <w:pStyle w:val="NoSpacing"/>
      </w:pPr>
      <w:r>
        <w:t xml:space="preserve">Issue #1 – the Issue of “True Threats” </w:t>
      </w:r>
    </w:p>
    <w:p w:rsidR="00B934B6" w:rsidRDefault="00B934B6">
      <w:pPr>
        <w:pStyle w:val="NoSpacing"/>
      </w:pPr>
      <w:r>
        <w:tab/>
        <w:t xml:space="preserve">A – 8-11 – Background of what is a legally viewed as a “true threat” </w:t>
      </w:r>
    </w:p>
    <w:p w:rsidR="00B934B6" w:rsidRDefault="00B934B6">
      <w:pPr>
        <w:pStyle w:val="NoSpacing"/>
      </w:pPr>
      <w:r>
        <w:tab/>
        <w:t>B – 11-16 Discussion on how this case should view true threats</w:t>
      </w:r>
    </w:p>
    <w:p w:rsidR="00B934B6" w:rsidRDefault="00B934B6">
      <w:pPr>
        <w:pStyle w:val="NoSpacing"/>
      </w:pPr>
    </w:p>
    <w:p w:rsidR="00B934B6" w:rsidRDefault="00B934B6">
      <w:pPr>
        <w:pStyle w:val="NoSpacing"/>
      </w:pPr>
      <w:r>
        <w:t>Issue #2 – the issue of the Consented Search</w:t>
      </w:r>
    </w:p>
    <w:p w:rsidR="00B934B6" w:rsidRDefault="00B934B6">
      <w:pPr>
        <w:pStyle w:val="NoSpacing"/>
      </w:pPr>
      <w:r>
        <w:tab/>
      </w:r>
      <w:proofErr w:type="gramStart"/>
      <w:r>
        <w:t>A  -</w:t>
      </w:r>
      <w:proofErr w:type="gramEnd"/>
      <w:r>
        <w:t xml:space="preserve"> 16-18 – Background of what is legally viewed as a “consent to search”</w:t>
      </w:r>
    </w:p>
    <w:p w:rsidR="00B934B6" w:rsidRDefault="00B934B6">
      <w:pPr>
        <w:pStyle w:val="NoSpacing"/>
      </w:pPr>
      <w:r>
        <w:tab/>
        <w:t>B – 18-</w:t>
      </w:r>
      <w:proofErr w:type="gramStart"/>
      <w:r>
        <w:t>21  --</w:t>
      </w:r>
      <w:proofErr w:type="gramEnd"/>
      <w:r>
        <w:t xml:space="preserve"> Discussion of how this case should view “consent to search” </w:t>
      </w:r>
    </w:p>
    <w:p w:rsidR="00B934B6" w:rsidRDefault="00B934B6">
      <w:pPr>
        <w:pStyle w:val="NoSpacing"/>
      </w:pPr>
    </w:p>
    <w:p w:rsidR="00B934B6" w:rsidRDefault="00B934B6">
      <w:pPr>
        <w:pStyle w:val="NoSpacing"/>
      </w:pPr>
      <w:r>
        <w:t xml:space="preserve">Ruling:  pg. 21 – The Appellate Court affirms (supports the ruling of the lower court) to deny Baker’s motion to suppress (not use) the evidence and upholds (affirms) his conviction.  </w:t>
      </w:r>
    </w:p>
    <w:p w:rsidR="00B934B6" w:rsidRDefault="00B934B6">
      <w:pPr>
        <w:pStyle w:val="NoSpacing"/>
      </w:pPr>
    </w:p>
    <w:p w:rsidR="00B934B6" w:rsidRDefault="00B934B6">
      <w:pPr>
        <w:pStyle w:val="NoSpacing"/>
      </w:pPr>
      <w:r>
        <w:t xml:space="preserve">Dissenting Opinion (disagreeing opinion):  </w:t>
      </w:r>
    </w:p>
    <w:p w:rsidR="00B934B6" w:rsidRDefault="00B934B6">
      <w:pPr>
        <w:pStyle w:val="NoSpacing"/>
      </w:pPr>
      <w:r>
        <w:tab/>
        <w:t>Pgs. 21-29</w:t>
      </w:r>
    </w:p>
    <w:p w:rsidR="00B934B6" w:rsidRDefault="00B934B6">
      <w:pPr>
        <w:pStyle w:val="NoSpacing"/>
      </w:pPr>
    </w:p>
    <w:p w:rsidR="00B934B6" w:rsidRDefault="00B934B6">
      <w:pPr>
        <w:pStyle w:val="NoSpacing"/>
      </w:pPr>
      <w:r>
        <w:t xml:space="preserve">Pg. 30 </w:t>
      </w:r>
      <w:r w:rsidR="0023401D">
        <w:t xml:space="preserve">– writ of certiorari (approval from the Supreme Court) to hear the case of Troy Baker v. United States of America over the two issues listed.  </w:t>
      </w:r>
    </w:p>
    <w:p w:rsidR="0023401D" w:rsidRDefault="0023401D">
      <w:pPr>
        <w:pStyle w:val="NoSpacing"/>
      </w:pPr>
    </w:p>
    <w:p w:rsidR="0023401D" w:rsidRPr="00060EC1" w:rsidRDefault="0023401D">
      <w:pPr>
        <w:pStyle w:val="NoSpacing"/>
      </w:pPr>
      <w:r>
        <w:t xml:space="preserve">Page 31 – follow link </w:t>
      </w:r>
      <w:hyperlink r:id="rId5" w:history="1">
        <w:r w:rsidRPr="00BB6B49">
          <w:rPr>
            <w:rStyle w:val="Hyperlink"/>
          </w:rPr>
          <w:t>http://www.jrcnyc.org/wordpress/?page_id=148</w:t>
        </w:r>
      </w:hyperlink>
      <w:r>
        <w:t xml:space="preserve"> to help complete the chart for the cases.  </w:t>
      </w:r>
    </w:p>
    <w:sectPr w:rsidR="0023401D" w:rsidRPr="0006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A"/>
    <w:rsid w:val="000337FA"/>
    <w:rsid w:val="00060EC1"/>
    <w:rsid w:val="0023401D"/>
    <w:rsid w:val="00672FB8"/>
    <w:rsid w:val="00785C9D"/>
    <w:rsid w:val="00803313"/>
    <w:rsid w:val="00B32F29"/>
    <w:rsid w:val="00B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C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4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C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4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rcnyc.org/wordpress/?page_id=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E13068A1</Template>
  <TotalTime>28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2014-10-17T13:03:00Z</dcterms:created>
  <dcterms:modified xsi:type="dcterms:W3CDTF">2014-10-17T13:31:00Z</dcterms:modified>
</cp:coreProperties>
</file>